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阜阳市第五人民医院商用台式计算机基础要求</w:t>
      </w:r>
    </w:p>
    <w:tbl>
      <w:tblPr>
        <w:tblStyle w:val="8"/>
        <w:tblW w:w="106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5466"/>
        <w:gridCol w:w="750"/>
        <w:gridCol w:w="644"/>
        <w:gridCol w:w="16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规格要求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4" w:hRule="atLeast"/>
          <w:jc w:val="center"/>
        </w:trPr>
        <w:tc>
          <w:tcPr>
            <w:tcW w:w="2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联想</w:t>
            </w:r>
            <w:r>
              <w:rPr>
                <w:rFonts w:hint="eastAsia"/>
                <w:szCs w:val="21"/>
              </w:rPr>
              <w:t>商用台式电脑</w:t>
            </w:r>
          </w:p>
        </w:tc>
        <w:tc>
          <w:tcPr>
            <w:tcW w:w="5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outlineLvl w:val="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类型：商用台式电脑；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outlineLvl w:val="2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与院方原使用机型通讯兼容便于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用户远程及网络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管理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Chars="0"/>
              <w:textAlignment w:val="auto"/>
              <w:outlineLvl w:val="2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CPU 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Intel Core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I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处理器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Chars="0"/>
              <w:textAlignment w:val="auto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主板：主板上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有1个PCI-E*16、2个PCI-E*1，1个PCI；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outlineLvl w:val="2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内存：配置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至少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4G DDR4 2133MHz 内存，最大支持32G内存容量；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显卡：集成显卡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声卡：集成HD Audio，支持5.1声道（提供前2后3共5个音频接口）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硬盘：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至少1T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 SATA3 7200rpm 硬盘，支持PCIe NMVE固态硬盘；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网卡：集成10/100/1000M以太网卡；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outlineLvl w:val="2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显示器：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21.5宽LED液晶屏，带物理按键，可一键切换到低蓝光模式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键盘、鼠标：防水键盘、抗菌鼠标；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接口：</w:t>
            </w: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≥8个USB接口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6个USB 3.1 Gen 1接口(前置4个USB 3.0 Gen 1)、PS/2接口、 串口 、VGA+HDMI视频接口；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电源：110/220V 180W 85Plus节能电源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安全特性：USB屏蔽技术，仅识别USB键盘、鼠标，无法识别其他USB读取设备，有效防止数据泄露；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eastAsia="宋体" w:cs="Times New Roman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机箱：标准MATX立式机箱，蜂窝结构，有效散热，15L小机型体积小巧方便提拿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120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</w:p>
        </w:tc>
      </w:tr>
    </w:tbl>
    <w:p/>
    <w:p>
      <w:pPr>
        <w:spacing w:line="360" w:lineRule="auto"/>
        <w:outlineLvl w:val="2"/>
        <w:rPr>
          <w:rFonts w:hint="eastAsia" w:eastAsia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其他资质等要求：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详见招标文件采购需求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70D"/>
    <w:rsid w:val="00411028"/>
    <w:rsid w:val="007C670D"/>
    <w:rsid w:val="00B10412"/>
    <w:rsid w:val="132B0AC8"/>
    <w:rsid w:val="17A8232B"/>
    <w:rsid w:val="26EE627B"/>
    <w:rsid w:val="3334603E"/>
    <w:rsid w:val="3F7958FD"/>
    <w:rsid w:val="485D5F31"/>
    <w:rsid w:val="4BA04CE3"/>
    <w:rsid w:val="4C1A6D14"/>
    <w:rsid w:val="565C35D3"/>
    <w:rsid w:val="6BB023DD"/>
    <w:rsid w:val="770A1685"/>
    <w:rsid w:val="78862B5D"/>
    <w:rsid w:val="7B903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40"/>
    </w:pPr>
    <w:rPr>
      <w:rFonts w:eastAsia="仿宋_GB2312"/>
      <w:sz w:val="28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0">
    <w:name w:val="页脚 Char"/>
    <w:basedOn w:val="7"/>
    <w:link w:val="5"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69</Characters>
  <Lines>1</Lines>
  <Paragraphs>1</Paragraphs>
  <TotalTime>1</TotalTime>
  <ScaleCrop>false</ScaleCrop>
  <LinksUpToDate>false</LinksUpToDate>
  <CharactersWithSpaces>223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熊超</cp:lastModifiedBy>
  <dcterms:modified xsi:type="dcterms:W3CDTF">2018-12-14T02:05:36Z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